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</w:t>
      </w:r>
      <w:proofErr w:type="spell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6C72BC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3C1D91">
        <w:rPr>
          <w:b/>
          <w:sz w:val="28"/>
          <w:szCs w:val="28"/>
          <w:lang w:val="ru-RU"/>
        </w:rPr>
        <w:t>Усть-Кульского</w:t>
      </w:r>
      <w:proofErr w:type="spellEnd"/>
      <w:r w:rsidRPr="003C1D91">
        <w:rPr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 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523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239D">
        <w:rPr>
          <w:rFonts w:hAnsi="Times New Roman" w:cs="Times New Roman"/>
          <w:color w:val="000000"/>
          <w:sz w:val="24"/>
          <w:szCs w:val="24"/>
          <w:lang w:val="ru-RU"/>
        </w:rPr>
        <w:t>дека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бря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 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  <w:t>№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5239D">
        <w:rPr>
          <w:rFonts w:hAnsi="Times New Roman" w:cs="Times New Roman"/>
          <w:color w:val="000000"/>
          <w:sz w:val="24"/>
          <w:szCs w:val="24"/>
          <w:lang w:val="ru-RU"/>
        </w:rPr>
        <w:t>77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 </w:t>
      </w:r>
      <w:r w:rsidR="00CA5539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694CEA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.1</w:t>
      </w:r>
      <w:r w:rsidR="00CA5539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CA5539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6C72BC">
        <w:rPr>
          <w:rFonts w:hAnsi="Times New Roman" w:cs="Times New Roman"/>
          <w:b/>
          <w:color w:val="000000"/>
          <w:sz w:val="24"/>
          <w:szCs w:val="24"/>
          <w:lang w:val="ru-RU"/>
        </w:rPr>
        <w:t>70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5D7" w:rsidRPr="00CA5539" w:rsidRDefault="001F01D7" w:rsidP="001F05D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A13A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694CEA">
        <w:rPr>
          <w:b/>
          <w:sz w:val="24"/>
          <w:szCs w:val="24"/>
          <w:lang w:val="ru-RU"/>
        </w:rPr>
        <w:t>У</w:t>
      </w:r>
      <w:r w:rsidR="006C72BC">
        <w:rPr>
          <w:b/>
          <w:sz w:val="24"/>
          <w:szCs w:val="24"/>
          <w:lang w:val="ru-RU"/>
        </w:rPr>
        <w:t>сть-Кульского</w:t>
      </w:r>
      <w:proofErr w:type="spellEnd"/>
    </w:p>
    <w:p w:rsidR="000A3FB5" w:rsidRPr="00222641" w:rsidRDefault="001F01D7" w:rsidP="001F05D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сельского</w:t>
      </w:r>
      <w:r w:rsidR="00C64D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1F01D7" w:rsidRPr="00D5239D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1F05D7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D5239D" w:rsidRDefault="00D5239D" w:rsidP="00D5239D">
      <w:pPr>
        <w:pStyle w:val="1"/>
        <w:shd w:val="clear" w:color="auto" w:fill="F8F8F8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  <w:proofErr w:type="gramStart"/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 целях ведения бюджетного учета в соответствии с требованиями нормативных актов, во исполнение Закона от 06.12.2011 № 402-ФЗ, приказа Минфина от 07.11.2022 № 157н и на основании приказа Минфина от 30.09.2024 № 144н «О внесении изменений в приложения № 1, 2, 4 и 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</w:t>
      </w:r>
      <w:proofErr w:type="gramEnd"/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425CBC">
        <w:rPr>
          <w:b w:val="0"/>
          <w:color w:val="000000"/>
          <w:sz w:val="24"/>
          <w:szCs w:val="24"/>
          <w:lang w:val="ru-RU"/>
        </w:rPr>
        <w:t>:</w:t>
      </w:r>
    </w:p>
    <w:p w:rsidR="00D5239D" w:rsidRDefault="00D5239D" w:rsidP="00D5239D">
      <w:pPr>
        <w:pStyle w:val="a3"/>
        <w:ind w:left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Pr="0018057B">
        <w:rPr>
          <w:color w:val="000000"/>
          <w:sz w:val="24"/>
          <w:szCs w:val="24"/>
          <w:lang w:val="ru-RU"/>
        </w:rPr>
        <w:t>Внести</w:t>
      </w:r>
      <w:r w:rsidRPr="0018057B">
        <w:rPr>
          <w:color w:val="000000"/>
          <w:sz w:val="24"/>
          <w:szCs w:val="24"/>
        </w:rPr>
        <w:t> </w:t>
      </w:r>
      <w:r w:rsidRPr="0018057B">
        <w:rPr>
          <w:color w:val="000000"/>
          <w:sz w:val="24"/>
          <w:szCs w:val="24"/>
          <w:lang w:val="ru-RU"/>
        </w:rPr>
        <w:t>изменения в учетную политику для целей бухгалтерского учета, утвержденную приказом руководителя от 23.01.2024</w:t>
      </w:r>
      <w:r w:rsidRPr="0018057B">
        <w:rPr>
          <w:color w:val="000000"/>
          <w:sz w:val="24"/>
          <w:szCs w:val="24"/>
        </w:rPr>
        <w:t>  </w:t>
      </w:r>
      <w:r w:rsidRPr="0018057B">
        <w:rPr>
          <w:color w:val="000000"/>
          <w:sz w:val="24"/>
          <w:szCs w:val="24"/>
          <w:lang w:val="ru-RU"/>
        </w:rPr>
        <w:t>№ 8:</w:t>
      </w:r>
    </w:p>
    <w:p w:rsidR="00D5239D" w:rsidRDefault="00D5239D" w:rsidP="00D5239D">
      <w:pPr>
        <w:pStyle w:val="a3"/>
        <w:numPr>
          <w:ilvl w:val="1"/>
          <w:numId w:val="8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603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приложении к учетной политике «</w:t>
      </w: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проведении инвентаризации</w:t>
      </w:r>
      <w:r w:rsidRPr="00D96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»:</w:t>
      </w:r>
    </w:p>
    <w:p w:rsidR="00D5239D" w:rsidRPr="00D96038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1.1.1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пункте 2.9 </w:t>
      </w:r>
    </w:p>
    <w:p w:rsidR="00D5239D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ценных бумаг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«Инвентаризационная опись ценных бумаг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(ф.0510470)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».;</w:t>
      </w:r>
    </w:p>
    <w:p w:rsidR="00D5239D" w:rsidRPr="00EB5FD3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(ф.0504082)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(ф.0510464)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5239D" w:rsidRPr="00EB5FD3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 слова «Инвентаризационная опись (сличительная ведомость) бланков строгой отчетности и денежных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«Инвентаризационная опись (сличительная ведомость) бланков строгой отчетности и денежных документов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(ф.0510465)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5239D" w:rsidRPr="00EB5FD3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239D" w:rsidRPr="00EB5FD3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239D" w:rsidRPr="00EB5FD3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 «Инвентаризационная опись расчетов с покупателями, поставщиками и прочими дебиторами и кредиторами</w:t>
      </w:r>
      <w:r w:rsidRPr="00EB5FD3">
        <w:rPr>
          <w:rFonts w:hAnsi="Times New Roman" w:cs="Times New Roman"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«Инвентаризационная опись расчетов с покупателями, поставщиками и прочими дебиторами и кредиторами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0510469)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5239D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расчетов по поступлениям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 0504091)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поступлениям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239D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Pr="005F1D03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Дополнить строками: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00"/>
        <w:gridCol w:w="528"/>
      </w:tblGrid>
      <w:tr w:rsidR="00D5239D" w:rsidTr="00DD29FD">
        <w:trPr>
          <w:trHeight w:val="37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D96038" w:rsidRDefault="00D5239D" w:rsidP="00DD29F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F1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задолженности по кредитам, займам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0510471)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5239D" w:rsidRPr="00D5239D" w:rsidTr="00DD29FD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5F1D03" w:rsidRDefault="00D5239D" w:rsidP="00DD29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долга РФ в ценных бумагах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0510472)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5F1D03" w:rsidRDefault="00D5239D" w:rsidP="00DD2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239D" w:rsidRPr="00D5239D" w:rsidTr="00DD29FD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D96038" w:rsidRDefault="00D5239D" w:rsidP="00DD29F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(муниципального) долга по полученным кредитам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0510473)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5F1D03" w:rsidRDefault="00D5239D" w:rsidP="00DD2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239D" w:rsidRPr="00D5239D" w:rsidTr="00DD29FD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D96038" w:rsidRDefault="00D5239D" w:rsidP="00DD2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Инвентаризационная опись состояния государственного (муниципального) долга по предоставленным гарантиям (ф. 0510474)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642909" w:rsidRDefault="00D5239D" w:rsidP="00DD2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239D" w:rsidTr="00DD29FD">
        <w:trPr>
          <w:trHeight w:val="26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Default="00D5239D" w:rsidP="00DD2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0510477)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5239D" w:rsidTr="00DD29FD">
        <w:trPr>
          <w:trHeight w:val="301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Pr="00D96038" w:rsidRDefault="00D5239D" w:rsidP="00DD29FD">
            <w:pPr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признании объектов права нефинансовых активов (ф. 0510478)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D5239D" w:rsidRPr="008D3469" w:rsidRDefault="00D5239D" w:rsidP="00D5239D">
      <w:pPr>
        <w:pStyle w:val="a3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«Правила документооборота»: </w:t>
      </w:r>
    </w:p>
    <w:p w:rsidR="00D5239D" w:rsidRPr="008D3469" w:rsidRDefault="00D5239D" w:rsidP="00D5239D">
      <w:pPr>
        <w:pStyle w:val="a3"/>
        <w:numPr>
          <w:ilvl w:val="1"/>
          <w:numId w:val="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пункт 2 дополнить следующими абзацами:</w:t>
      </w:r>
    </w:p>
    <w:p w:rsidR="00D5239D" w:rsidRPr="003046CB" w:rsidRDefault="00D5239D" w:rsidP="00D523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«С графиком документооборота, а также с каждым изменением к нему должны ознакомиться все сотрудники обслуживаемых учреждений,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ознакомления, форма которого утверждена в приложении к учетной политике.</w:t>
      </w:r>
    </w:p>
    <w:p w:rsidR="00D5239D" w:rsidRPr="003046CB" w:rsidRDefault="00D5239D" w:rsidP="00D523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В случае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:rsidR="00D5239D" w:rsidRDefault="00D5239D" w:rsidP="00D523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3 статьи 9 Закона № 402-ФЗ.»</w:t>
      </w:r>
    </w:p>
    <w:p w:rsidR="00D5239D" w:rsidRDefault="00D5239D" w:rsidP="00D523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D5239D">
      <w:pPr>
        <w:pStyle w:val="a3"/>
        <w:numPr>
          <w:ilvl w:val="1"/>
          <w:numId w:val="7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7.1.  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 абзац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239D" w:rsidRDefault="00D5239D" w:rsidP="00D523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Перечень первичных учетных документов и регистров, составляемых в виде электронного документа: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5" w:anchor="/document/16/143770/dfas950bh4/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приеме-передаче НФА (ф. 0510448)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6" w:anchor="/document/16/143770/dfasr9ke08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приемки товаров, работ, услуг (ф. 0510452)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7" w:anchor="/document/16/143770/dfasn11c2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результатах инвентаризации (ф. 0510463)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8" w:anchor="/document/16/143770/dfasmfyto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бланков строгой отчетности (ф. 0510461)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5.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9" w:anchor="/document/16/143770/dfaslsnsus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материальных запасов (ф. 0510460)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6.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0" w:anchor="/document/16/143770/dfasf6gqr2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объектов НФА (кроме транспортных средств) (ф. 0510454)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7.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1" w:anchor="/document/16/143770/dfasl2adyy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транспортного средства (ф. 0510456)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8.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2" w:anchor="/document/16/143770/dfasuc8tiz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учета нефинансовых активов (ф. 0509215)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9.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3" w:anchor="/document/16/143770/dfas0dxi1g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группового учета нефинансовых активов (ф. 0509216)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10.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4" w:anchor="/document/16/143770/dfascgy8vp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капвложений (ф. 0509211)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5" w:anchor="/document/16/143770/dfas491uo6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права пользования НФА (ф. 0509214)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6" w:anchor="/document/16/143770/dfaslpmb3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внутреннее перемещение (ф. 0510450)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7" w:anchor="/document/16/143770/dfasxzio3n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отпуск материальных ценностей на сторону (ф. 0510458)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D5239D" w:rsidRPr="00EE2854" w:rsidRDefault="00D5239D" w:rsidP="00D5239D">
      <w:pPr>
        <w:spacing w:before="0" w:beforeAutospacing="0" w:after="0" w:afterAutospacing="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8" w:anchor="/document/16/143770/dfaspgu46u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Требование-накладная (ф. 0510451)</w:t>
        </w:r>
      </w:hyperlink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br/>
      </w:r>
    </w:p>
    <w:p w:rsidR="00D5239D" w:rsidRPr="00996A2C" w:rsidRDefault="00D5239D" w:rsidP="00D523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239D" w:rsidRPr="00965E38" w:rsidRDefault="00D5239D" w:rsidP="00D5239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3. В разделе «</w:t>
      </w:r>
      <w:r w:rsidRPr="00965E38">
        <w:rPr>
          <w:rFonts w:ascii="Times New Roman" w:hAnsi="Times New Roman" w:cs="Times New Roman"/>
          <w:bCs/>
          <w:sz w:val="24"/>
          <w:szCs w:val="24"/>
          <w:lang w:val="ru-RU"/>
        </w:rPr>
        <w:t>Учет отдельных видов имущества и обязательств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» добавить новый пункт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5239D" w:rsidRPr="00965E38" w:rsidRDefault="00D5239D" w:rsidP="00D523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«При принятии к бухгалтерскому учету объекта учета права пользования нефинансовым активом у него формируется идентификационный номер, который состоит:</w:t>
      </w:r>
    </w:p>
    <w:p w:rsidR="00D5239D" w:rsidRPr="00965E38" w:rsidRDefault="00D5239D" w:rsidP="00D5239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из значения реквизита бухгалтерской программы «Код элемента справочника» для основных средств, нематериальных активов, </w:t>
      </w:r>
      <w:proofErr w:type="spellStart"/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proofErr w:type="spellEnd"/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активов;</w:t>
      </w:r>
    </w:p>
    <w:p w:rsidR="00D5239D" w:rsidRPr="00965E38" w:rsidRDefault="00D5239D" w:rsidP="00D5239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кода вида нефинансовых активов – права пользования основными средствами, нематериальными активами, </w:t>
      </w:r>
      <w:proofErr w:type="spellStart"/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непроизведенными</w:t>
      </w:r>
      <w:proofErr w:type="spellEnd"/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активами;</w:t>
      </w:r>
    </w:p>
    <w:p w:rsidR="00D5239D" w:rsidRPr="00965E38" w:rsidRDefault="00D5239D" w:rsidP="00D5239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года возникновения права пользования нефинансовым активом.</w:t>
      </w:r>
    </w:p>
    <w:p w:rsidR="00D5239D" w:rsidRPr="00965E38" w:rsidRDefault="00D5239D" w:rsidP="00D523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Основание: п. 64.187 приложения 5 к приказу Минфина России от 15.04.2021 № 61н.».</w:t>
      </w:r>
    </w:p>
    <w:p w:rsidR="00D5239D" w:rsidRPr="00965E38" w:rsidRDefault="00D5239D" w:rsidP="00D523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4. Добавить в 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1.20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ребование о представлении документов и 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Лист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документооборота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239D" w:rsidRPr="00222641" w:rsidRDefault="00D5239D" w:rsidP="00D523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D5239D" w:rsidRPr="00FD1FE7" w:rsidRDefault="00D5239D" w:rsidP="00D523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D1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Опубликовать основные положения учетной политики в новой редакции на официальном сайте учреждения в течение 10 дней </w:t>
      </w:r>
      <w:proofErr w:type="gramStart"/>
      <w:r w:rsidRPr="00FD1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Pr="00FD1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5239D" w:rsidRPr="0036027F" w:rsidRDefault="00D5239D" w:rsidP="00D523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отделом бухгалтерского учета и отчетности - главного бухгалтера централизованной бухгалтерии администрации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Тулунского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 Е.В.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2BC" w:rsidRPr="006C72BC" w:rsidRDefault="0054761F" w:rsidP="006C72BC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C72BC" w:rsidRPr="006C72BC">
        <w:rPr>
          <w:sz w:val="24"/>
          <w:szCs w:val="24"/>
          <w:lang w:val="ru-RU"/>
        </w:rPr>
        <w:t xml:space="preserve">Глава  </w:t>
      </w:r>
      <w:proofErr w:type="spellStart"/>
      <w:r w:rsidR="006C72BC" w:rsidRPr="006C72BC">
        <w:rPr>
          <w:sz w:val="24"/>
          <w:szCs w:val="24"/>
          <w:lang w:val="ru-RU"/>
        </w:rPr>
        <w:t>Усть-Кульского</w:t>
      </w:r>
      <w:proofErr w:type="spellEnd"/>
    </w:p>
    <w:p w:rsidR="006C72BC" w:rsidRPr="006C72BC" w:rsidRDefault="006C72BC" w:rsidP="006C72BC">
      <w:pPr>
        <w:spacing w:before="0" w:beforeAutospacing="0" w:after="0" w:afterAutospacing="0"/>
        <w:rPr>
          <w:sz w:val="24"/>
          <w:szCs w:val="24"/>
          <w:lang w:val="ru-RU"/>
        </w:rPr>
      </w:pPr>
      <w:r w:rsidRPr="006C72BC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 xml:space="preserve"> </w:t>
      </w:r>
      <w:r w:rsidRPr="006C72BC">
        <w:rPr>
          <w:sz w:val="24"/>
          <w:szCs w:val="24"/>
          <w:lang w:val="ru-RU"/>
        </w:rPr>
        <w:t xml:space="preserve">сельского поселения                 </w:t>
      </w:r>
      <w:r>
        <w:rPr>
          <w:sz w:val="24"/>
          <w:szCs w:val="24"/>
          <w:lang w:val="ru-RU"/>
        </w:rPr>
        <w:t xml:space="preserve">     </w:t>
      </w:r>
      <w:r w:rsidRPr="006C72BC">
        <w:rPr>
          <w:sz w:val="24"/>
          <w:szCs w:val="24"/>
          <w:lang w:val="ru-RU"/>
        </w:rPr>
        <w:t xml:space="preserve">                                               </w:t>
      </w:r>
      <w:r>
        <w:rPr>
          <w:sz w:val="24"/>
          <w:szCs w:val="24"/>
          <w:lang w:val="ru-RU"/>
        </w:rPr>
        <w:t xml:space="preserve">     </w:t>
      </w:r>
      <w:r w:rsidRPr="006C72BC">
        <w:rPr>
          <w:sz w:val="24"/>
          <w:szCs w:val="24"/>
          <w:lang w:val="ru-RU"/>
        </w:rPr>
        <w:t xml:space="preserve">    Т.А. </w:t>
      </w:r>
      <w:proofErr w:type="spellStart"/>
      <w:r w:rsidRPr="006C72BC">
        <w:rPr>
          <w:sz w:val="24"/>
          <w:szCs w:val="24"/>
          <w:lang w:val="ru-RU"/>
        </w:rPr>
        <w:t>Процан</w:t>
      </w:r>
      <w:proofErr w:type="spellEnd"/>
    </w:p>
    <w:p w:rsidR="0054761F" w:rsidRDefault="0054761F" w:rsidP="006C7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967" w:rsidRDefault="00942967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2BC" w:rsidRDefault="006C72BC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Default="00D5239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523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5239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C1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239D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39D" w:rsidRPr="006E6440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22222"/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Наименование учреждения</w:t>
      </w:r>
      <w:r w:rsidRPr="008B4B79">
        <w:rPr>
          <w:sz w:val="24"/>
          <w:szCs w:val="24"/>
          <w:lang w:val="ru-RU"/>
        </w:rPr>
        <w:br/>
      </w:r>
      <w:r w:rsidRPr="006E6440">
        <w:rPr>
          <w:rStyle w:val="dochighlightcontainerleo6d"/>
          <w:rFonts w:cstheme="minorHAnsi"/>
          <w:color w:val="222222"/>
          <w:sz w:val="24"/>
          <w:szCs w:val="24"/>
        </w:rPr>
        <w:t> </w:t>
      </w:r>
    </w:p>
    <w:p w:rsidR="00D5239D" w:rsidRPr="00080C66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proofErr w:type="gramStart"/>
      <w:r w:rsidRPr="00080C66">
        <w:rPr>
          <w:rStyle w:val="dochighlightcontainerleo6d"/>
          <w:rFonts w:cstheme="minorHAnsi"/>
          <w:color w:val="222222"/>
          <w:sz w:val="24"/>
          <w:szCs w:val="24"/>
          <w:lang w:val="ru-RU"/>
        </w:rPr>
        <w:t>Кому:</w:t>
      </w: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(должность,</w:t>
      </w:r>
      <w:proofErr w:type="gramEnd"/>
    </w:p>
    <w:p w:rsidR="00D5239D" w:rsidRPr="00080C66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proofErr w:type="gramStart"/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ФИО)</w:t>
      </w:r>
      <w:proofErr w:type="gramEnd"/>
    </w:p>
    <w:p w:rsidR="00D5239D" w:rsidRPr="006E6440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Требование</w:t>
      </w:r>
    </w:p>
    <w:p w:rsidR="00D5239D" w:rsidRPr="006E6440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B4B79">
        <w:rPr>
          <w:sz w:val="24"/>
          <w:szCs w:val="24"/>
          <w:lang w:val="ru-RU"/>
        </w:rPr>
        <w:t>редставить документы, информацию</w:t>
      </w:r>
    </w:p>
    <w:p w:rsidR="00D5239D" w:rsidRPr="00470F4F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u w:val="single"/>
          <w:lang w:val="ru-RU"/>
        </w:rPr>
      </w:pPr>
      <w:proofErr w:type="gramStart"/>
      <w:r w:rsidRPr="008B4B79">
        <w:rPr>
          <w:sz w:val="24"/>
          <w:szCs w:val="24"/>
          <w:lang w:val="ru-RU"/>
        </w:rPr>
        <w:t>от</w:t>
      </w:r>
      <w:proofErr w:type="gramEnd"/>
      <w:r w:rsidRPr="006E6440">
        <w:rPr>
          <w:sz w:val="24"/>
          <w:szCs w:val="24"/>
          <w:lang w:val="ru-RU"/>
        </w:rPr>
        <w:t> </w:t>
      </w:r>
      <w:r w:rsidRPr="008B4B79">
        <w:rPr>
          <w:sz w:val="24"/>
          <w:szCs w:val="24"/>
          <w:u w:val="single"/>
          <w:lang w:val="ru-RU"/>
        </w:rPr>
        <w:t>(дата)</w:t>
      </w:r>
    </w:p>
    <w:p w:rsidR="00D5239D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470F4F">
        <w:rPr>
          <w:sz w:val="24"/>
          <w:szCs w:val="24"/>
          <w:lang w:val="ru-RU"/>
        </w:rPr>
        <w:t>Уведомляю, что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(должность, ФИО)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не представил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в срок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</w:t>
      </w:r>
      <w:r w:rsidRPr="00470F4F">
        <w:rPr>
          <w:i/>
          <w:sz w:val="24"/>
          <w:szCs w:val="24"/>
          <w:lang w:val="ru-RU"/>
        </w:rPr>
        <w:t>Отчет</w:t>
      </w:r>
      <w:r w:rsidRPr="00470F4F">
        <w:rPr>
          <w:i/>
          <w:sz w:val="24"/>
          <w:szCs w:val="24"/>
        </w:rPr>
        <w:t> </w:t>
      </w:r>
      <w:r w:rsidRPr="00470F4F">
        <w:rPr>
          <w:i/>
          <w:sz w:val="24"/>
          <w:szCs w:val="24"/>
          <w:lang w:val="ru-RU"/>
        </w:rPr>
        <w:t>о расходах подотчетного лица (ф. 0504520) (образец)</w:t>
      </w:r>
      <w:r w:rsidRPr="00470F4F">
        <w:rPr>
          <w:sz w:val="24"/>
          <w:szCs w:val="24"/>
          <w:lang w:val="ru-RU"/>
        </w:rPr>
        <w:t xml:space="preserve">. </w:t>
      </w:r>
      <w:proofErr w:type="gramEnd"/>
    </w:p>
    <w:p w:rsidR="00D5239D" w:rsidRPr="008B4B79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Срок представления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отчета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–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u w:val="single"/>
          <w:lang w:val="ru-RU"/>
        </w:rPr>
        <w:t>(дата).</w:t>
      </w:r>
      <w:r w:rsidRPr="008B4B79">
        <w:rPr>
          <w:sz w:val="24"/>
          <w:szCs w:val="24"/>
          <w:lang w:val="ru-RU"/>
        </w:rPr>
        <w:t xml:space="preserve"> </w:t>
      </w:r>
    </w:p>
    <w:p w:rsidR="00D5239D" w:rsidRPr="00470F4F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 xml:space="preserve">Требую представить документ не позднее </w:t>
      </w:r>
      <w:r w:rsidRPr="00470F4F">
        <w:rPr>
          <w:sz w:val="24"/>
          <w:szCs w:val="24"/>
          <w:u w:val="single"/>
          <w:lang w:val="ru-RU"/>
        </w:rPr>
        <w:t>(дата).</w:t>
      </w:r>
    </w:p>
    <w:p w:rsidR="00D5239D" w:rsidRPr="008B4B79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Главный бухгалтер</w:t>
      </w:r>
      <w:r w:rsidRPr="006E6440">
        <w:rPr>
          <w:sz w:val="24"/>
          <w:szCs w:val="24"/>
        </w:rPr>
        <w:t>  </w:t>
      </w:r>
      <w:r w:rsidRPr="008B4B79">
        <w:rPr>
          <w:sz w:val="24"/>
          <w:szCs w:val="24"/>
          <w:lang w:val="ru-RU"/>
        </w:rPr>
        <w:t xml:space="preserve">_________ 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ФИО</w:t>
      </w:r>
    </w:p>
    <w:p w:rsidR="00D5239D" w:rsidRPr="00080C66" w:rsidRDefault="00D5239D" w:rsidP="00D52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17"/>
          <w:szCs w:val="17"/>
          <w:lang w:val="ru-RU"/>
        </w:rPr>
      </w:pPr>
    </w:p>
    <w:p w:rsidR="00D5239D" w:rsidRPr="00BE2E54" w:rsidRDefault="00D5239D" w:rsidP="00D5239D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от 15.06.2024 № 56</w:t>
      </w:r>
    </w:p>
    <w:p w:rsidR="00D5239D" w:rsidRPr="00BE2E54" w:rsidRDefault="00D5239D" w:rsidP="00D5239D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D5239D" w:rsidRPr="00BE2E54" w:rsidRDefault="00D5239D" w:rsidP="00D5239D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я имущества и обязательств» пункт 1 изложить в следующей редакции:</w:t>
      </w:r>
    </w:p>
    <w:p w:rsidR="00D5239D" w:rsidRPr="00BE2E54" w:rsidRDefault="00D5239D" w:rsidP="00D5239D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утверждено.06.2024 № 56».</w:t>
      </w:r>
    </w:p>
    <w:p w:rsidR="00D5239D" w:rsidRPr="00D0008A" w:rsidRDefault="00D5239D" w:rsidP="00D5239D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Лист ознакомления сотрудников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(наименование учреждения)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>с графиком электронного документооборота,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руководителя </w:t>
      </w:r>
      <w:proofErr w:type="gramStart"/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(дата, номер)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2153"/>
        <w:gridCol w:w="3685"/>
        <w:gridCol w:w="1701"/>
        <w:gridCol w:w="1560"/>
      </w:tblGrid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Pr="00D0008A" w:rsidRDefault="00D5239D" w:rsidP="00DD29F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</w:tr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</w:tr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</w:tr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</w:tr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/>
        </w:tc>
      </w:tr>
      <w:tr w:rsidR="00D5239D" w:rsidTr="00DD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39D" w:rsidRDefault="00D5239D" w:rsidP="00DD29F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D5239D" w:rsidRDefault="002A065E" w:rsidP="00D5239D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к </w:t>
      </w:r>
      <w:r w:rsidR="00D5239D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прика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62FC4"/>
    <w:multiLevelType w:val="multilevel"/>
    <w:tmpl w:val="64B60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71F179C1"/>
    <w:multiLevelType w:val="multilevel"/>
    <w:tmpl w:val="52A84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21A3"/>
    <w:rsid w:val="000A3FB5"/>
    <w:rsid w:val="001078B1"/>
    <w:rsid w:val="00111C1F"/>
    <w:rsid w:val="00173755"/>
    <w:rsid w:val="00177267"/>
    <w:rsid w:val="001A266F"/>
    <w:rsid w:val="001F01D7"/>
    <w:rsid w:val="001F05D7"/>
    <w:rsid w:val="00206B8F"/>
    <w:rsid w:val="00213FDE"/>
    <w:rsid w:val="00222641"/>
    <w:rsid w:val="00240D94"/>
    <w:rsid w:val="00265EA1"/>
    <w:rsid w:val="002668C7"/>
    <w:rsid w:val="002A065E"/>
    <w:rsid w:val="002D33B1"/>
    <w:rsid w:val="002D3591"/>
    <w:rsid w:val="0030512E"/>
    <w:rsid w:val="003061AF"/>
    <w:rsid w:val="0031765E"/>
    <w:rsid w:val="003201D1"/>
    <w:rsid w:val="003514A0"/>
    <w:rsid w:val="003A64CB"/>
    <w:rsid w:val="003C1D91"/>
    <w:rsid w:val="00472F98"/>
    <w:rsid w:val="00476507"/>
    <w:rsid w:val="004B076C"/>
    <w:rsid w:val="004F7E17"/>
    <w:rsid w:val="00513556"/>
    <w:rsid w:val="005228C6"/>
    <w:rsid w:val="0054074D"/>
    <w:rsid w:val="0054761F"/>
    <w:rsid w:val="00570F53"/>
    <w:rsid w:val="005A05CE"/>
    <w:rsid w:val="005E3B4F"/>
    <w:rsid w:val="006152EB"/>
    <w:rsid w:val="00637129"/>
    <w:rsid w:val="00642326"/>
    <w:rsid w:val="00653AF6"/>
    <w:rsid w:val="006616C5"/>
    <w:rsid w:val="00694CEA"/>
    <w:rsid w:val="006A1F36"/>
    <w:rsid w:val="006C72BC"/>
    <w:rsid w:val="006E480C"/>
    <w:rsid w:val="006E6A51"/>
    <w:rsid w:val="00716E3D"/>
    <w:rsid w:val="00737355"/>
    <w:rsid w:val="00780D6B"/>
    <w:rsid w:val="007E0610"/>
    <w:rsid w:val="00806F0B"/>
    <w:rsid w:val="00844EF2"/>
    <w:rsid w:val="00897BC3"/>
    <w:rsid w:val="00942967"/>
    <w:rsid w:val="00954141"/>
    <w:rsid w:val="00996265"/>
    <w:rsid w:val="009A33B6"/>
    <w:rsid w:val="00A13A54"/>
    <w:rsid w:val="00A37263"/>
    <w:rsid w:val="00A902AE"/>
    <w:rsid w:val="00AF13DE"/>
    <w:rsid w:val="00AF6CAA"/>
    <w:rsid w:val="00B73A5A"/>
    <w:rsid w:val="00B87CCC"/>
    <w:rsid w:val="00BB3BC0"/>
    <w:rsid w:val="00BE2E54"/>
    <w:rsid w:val="00C64D3D"/>
    <w:rsid w:val="00C659F7"/>
    <w:rsid w:val="00C77C61"/>
    <w:rsid w:val="00C937FE"/>
    <w:rsid w:val="00CA5539"/>
    <w:rsid w:val="00D5239D"/>
    <w:rsid w:val="00D64095"/>
    <w:rsid w:val="00D97A6C"/>
    <w:rsid w:val="00DB59E6"/>
    <w:rsid w:val="00E34492"/>
    <w:rsid w:val="00E438A1"/>
    <w:rsid w:val="00EC502C"/>
    <w:rsid w:val="00EE7009"/>
    <w:rsid w:val="00F01846"/>
    <w:rsid w:val="00F01E19"/>
    <w:rsid w:val="00F30786"/>
    <w:rsid w:val="00F3668A"/>
    <w:rsid w:val="00F455A7"/>
    <w:rsid w:val="00F5167E"/>
    <w:rsid w:val="00F5284C"/>
    <w:rsid w:val="00FA21B9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character" w:customStyle="1" w:styleId="docinline118filli5q5w">
    <w:name w:val="docinline118_fill__i5q5w"/>
    <w:basedOn w:val="a0"/>
    <w:rsid w:val="00D52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admin</cp:lastModifiedBy>
  <cp:revision>44</cp:revision>
  <cp:lastPrinted>2024-09-27T02:58:00Z</cp:lastPrinted>
  <dcterms:created xsi:type="dcterms:W3CDTF">2024-06-28T07:30:00Z</dcterms:created>
  <dcterms:modified xsi:type="dcterms:W3CDTF">2024-12-26T06:30:00Z</dcterms:modified>
</cp:coreProperties>
</file>